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DF10" w14:textId="77777777" w:rsidR="006957C5" w:rsidRPr="00DC7F49" w:rsidRDefault="00714F34" w:rsidP="008B0960">
      <w:pPr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C7F49">
        <w:rPr>
          <w:rFonts w:asciiTheme="minorHAnsi" w:hAnsiTheme="minorHAnsi" w:cstheme="minorHAnsi"/>
          <w:b/>
          <w:sz w:val="22"/>
          <w:szCs w:val="22"/>
        </w:rPr>
        <w:t>Q &amp; A on FIRS statement</w:t>
      </w:r>
    </w:p>
    <w:p w14:paraId="371B51F0" w14:textId="77777777" w:rsidR="00714F34" w:rsidRPr="00847327" w:rsidRDefault="00714F34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8F5D070" w14:textId="77777777" w:rsidR="001F3884" w:rsidRPr="00847327" w:rsidRDefault="00714F34" w:rsidP="008B0960">
      <w:pPr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7327">
        <w:rPr>
          <w:rFonts w:asciiTheme="minorHAnsi" w:hAnsiTheme="minorHAnsi" w:cstheme="minorHAnsi"/>
          <w:b/>
          <w:sz w:val="22"/>
          <w:szCs w:val="22"/>
        </w:rPr>
        <w:t>Q: What is the situation with advertising, sales, regulation, etc. in USA, EU, other regions?</w:t>
      </w:r>
    </w:p>
    <w:p w14:paraId="0A11C9CD" w14:textId="77777777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14E6BC2" w14:textId="3FF921F8" w:rsidR="00222C09" w:rsidRPr="00847327" w:rsidRDefault="001F388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sz w:val="22"/>
          <w:szCs w:val="22"/>
        </w:rPr>
        <w:t xml:space="preserve">It is highly variable, and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>Europe is a perfect example.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Some European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nations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apply many regulatory d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>omains whereas others apply few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Portugal has regulations on child safety, advertising,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promotion, sponsorship, health warning labelling, ingredients, flavours, minimum age, nicotine volumes and concentrations, reporting, safety, sale, tax and vape-free areas. In contrast, Switzerland has no regulation but prohibits sale of nicotine-containing devices. Norway recently lifted its ban on electronic cigarettes,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while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Belgium, Austria and Turkey prohibit the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sale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of all products.</w:t>
      </w:r>
    </w:p>
    <w:p w14:paraId="696D095E" w14:textId="77777777" w:rsidR="00222C09" w:rsidRPr="00847327" w:rsidRDefault="00222C09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A216F9" w14:textId="0326B0F9" w:rsidR="00222C09" w:rsidRPr="00847327" w:rsidRDefault="0046208F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 2016, only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twenty-three</w:t>
      </w:r>
      <w:r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countries had implemented minimum age-of-purchase policies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847327">
        <w:rPr>
          <w:rFonts w:asciiTheme="minorHAnsi" w:hAnsiTheme="minorHAnsi" w:cstheme="minorHAnsi"/>
          <w:sz w:val="22"/>
          <w:szCs w:val="22"/>
        </w:rPr>
        <w:t xml:space="preserve">Kennedy RD, </w:t>
      </w:r>
      <w:r w:rsidR="00E64191" w:rsidRPr="00847327">
        <w:rPr>
          <w:rFonts w:asciiTheme="minorHAnsi" w:hAnsiTheme="minorHAnsi" w:cstheme="minorHAnsi"/>
          <w:sz w:val="22"/>
          <w:szCs w:val="22"/>
        </w:rPr>
        <w:t>et al</w:t>
      </w:r>
      <w:r w:rsidR="00222C09" w:rsidRPr="008473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22C09" w:rsidRPr="00847327">
        <w:rPr>
          <w:rFonts w:asciiTheme="minorHAnsi" w:hAnsiTheme="minorHAnsi" w:cstheme="minorHAnsi"/>
          <w:sz w:val="22"/>
          <w:szCs w:val="22"/>
        </w:rPr>
        <w:t>Tob</w:t>
      </w:r>
      <w:proofErr w:type="spellEnd"/>
      <w:r w:rsidR="00222C09" w:rsidRPr="00847327">
        <w:rPr>
          <w:rFonts w:asciiTheme="minorHAnsi" w:hAnsiTheme="minorHAnsi" w:cstheme="minorHAnsi"/>
          <w:sz w:val="22"/>
          <w:szCs w:val="22"/>
        </w:rPr>
        <w:t xml:space="preserve"> Control. 2017;26:440-5</w:t>
      </w:r>
      <w:r w:rsidRPr="00847327">
        <w:rPr>
          <w:rFonts w:asciiTheme="minorHAnsi" w:hAnsiTheme="minorHAnsi" w:cstheme="minorHAnsi"/>
          <w:sz w:val="22"/>
          <w:szCs w:val="22"/>
        </w:rPr>
        <w:t>)</w:t>
      </w:r>
      <w:r w:rsidR="004B13CA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8B0960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4B13C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It is also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important to note that</w:t>
      </w:r>
      <w:r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 law on a minimum age-of-purchase has little or no effect if it is not enforced.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That is why we strongly recommended that “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sale of electronic cigarettes to adolescents and young adults must be prohibited by all nations, and those bans must be enforced.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0637BFD4" w14:textId="09E3FE5E" w:rsidR="0046208F" w:rsidRPr="00847327" w:rsidRDefault="0046208F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1A3CEA3B" w14:textId="77777777" w:rsidR="00714F34" w:rsidRPr="00847327" w:rsidRDefault="00714F34" w:rsidP="008B0960">
      <w:pPr>
        <w:spacing w:line="240" w:lineRule="exac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Q: What is the evidence that that these recommendations will help young people?</w:t>
      </w:r>
    </w:p>
    <w:p w14:paraId="2DF28950" w14:textId="77777777" w:rsidR="00714F34" w:rsidRPr="00847327" w:rsidRDefault="00714F3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09296" w14:textId="39CE6EB7" w:rsidR="00522934" w:rsidRPr="00847327" w:rsidRDefault="0052293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There will be only a modest, immediate effect</w:t>
      </w:r>
      <w:r w:rsidR="0046208F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other than hopefully preventing the next generation </w:t>
      </w:r>
      <w:r w:rsidR="00222C09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from becoming addicted to nicotine.</w:t>
      </w:r>
      <w:r w:rsidR="008B09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addictive power of nicotine and its adverse effects in youths should not be underestimated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The tobacco industry recognized 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that youth, often referred as “replacement smokers” or “learners” in industry documents, are their critical market</w:t>
      </w:r>
      <w:r w:rsidR="00222C09" w:rsidRPr="008473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The US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Academies of </w:t>
      </w:r>
      <w:r w:rsidR="00E64191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Sciences, Engineering, and Medicine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found </w:t>
      </w:r>
      <w:r w:rsidRPr="0084732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substantial evidence</w:t>
      </w:r>
      <w:r w:rsidRPr="0084732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that e-cigarette use increases risk of ever using combustible tobacco cigarettes among youth and young adults“ (National Academies of Sciences, Engineering, and Medicine. 2018.</w:t>
      </w:r>
      <w:r w:rsidR="00AF1B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Public health consequences of e-cigarettes.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Washington, DC: The National Academies Press).</w:t>
      </w:r>
    </w:p>
    <w:p w14:paraId="144459B6" w14:textId="232818EA" w:rsidR="0046208F" w:rsidRPr="00847327" w:rsidRDefault="0046208F" w:rsidP="00274C0B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2EBF9A93" w14:textId="54B5D57A" w:rsidR="00222C09" w:rsidRPr="00847327" w:rsidRDefault="00222C09" w:rsidP="00274C0B">
      <w:pPr>
        <w:spacing w:line="240" w:lineRule="exact"/>
        <w:rPr>
          <w:rFonts w:asciiTheme="minorHAnsi" w:eastAsiaTheme="minorHAnsi" w:hAnsiTheme="minorHAnsi" w:cstheme="minorHAnsi"/>
          <w:sz w:val="22"/>
          <w:szCs w:val="22"/>
        </w:rPr>
      </w:pP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We are still determining the long-term health effects of electronic cigarettes,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but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>past c</w:t>
      </w:r>
      <w:r w:rsidRPr="0084732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laims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safety may </w:t>
      </w:r>
      <w:r w:rsidR="0052293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have been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premature.</w:t>
      </w:r>
      <w:r w:rsidR="008B09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Current evidence indicates that exposure of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potentially harmful ingredients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from electronic cigarettes is significantly lower than combustible cigarettes (</w:t>
      </w:r>
      <w:r w:rsidR="0052293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National Academies of Sciences, Engineering, and Medicine. 2018</w:t>
      </w:r>
      <w:r w:rsidR="00522934" w:rsidRPr="00847327">
        <w:rPr>
          <w:rFonts w:asciiTheme="minorHAnsi" w:hAnsiTheme="minorHAnsi" w:cstheme="minorHAnsi"/>
          <w:sz w:val="22"/>
          <w:szCs w:val="22"/>
        </w:rPr>
        <w:t>).</w:t>
      </w:r>
      <w:r w:rsidR="008B0960">
        <w:rPr>
          <w:rFonts w:asciiTheme="minorHAnsi" w:hAnsiTheme="minorHAnsi" w:cstheme="minorHAnsi"/>
          <w:sz w:val="22"/>
          <w:szCs w:val="22"/>
        </w:rPr>
        <w:t xml:space="preserve"> </w:t>
      </w:r>
      <w:r w:rsidR="00522934" w:rsidRPr="00847327">
        <w:rPr>
          <w:rFonts w:asciiTheme="minorHAnsi" w:hAnsiTheme="minorHAnsi" w:cstheme="minorHAnsi"/>
          <w:sz w:val="22"/>
          <w:szCs w:val="22"/>
        </w:rPr>
        <w:t>However,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it does not mean that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electronic cigarette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>aerosols are “harmless vapo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>r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”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recently published study showed that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proteomic analyses of lavage samples collected from healthy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non-smokers, smokers and vapers who used the product for more than </w:t>
      </w:r>
      <w:r w:rsidR="00AF1B36">
        <w:rPr>
          <w:rFonts w:asciiTheme="minorHAnsi" w:hAnsiTheme="minorHAnsi" w:cstheme="minorHAnsi"/>
          <w:color w:val="000000" w:themeColor="text1"/>
          <w:sz w:val="22"/>
          <w:szCs w:val="22"/>
        </w:rPr>
        <w:t>six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-months clearly showed that electronic cigarette vapors exert marked and extensive biological effects on human airways, which led the authors to conclude electronic cigarettes “should not be prescribed as a safe or harmless tobacc</w:t>
      </w:r>
      <w:r w:rsidR="00E64191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o alternative.” (Ghosh A, et al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4732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Am J Respir </w:t>
      </w:r>
      <w:proofErr w:type="spellStart"/>
      <w:r w:rsidRPr="0084732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Crit</w:t>
      </w:r>
      <w:proofErr w:type="spellEnd"/>
      <w:r w:rsidRPr="0084732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Care Med.</w:t>
      </w:r>
      <w:r w:rsidRPr="0084732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2018. In press). </w:t>
      </w:r>
    </w:p>
    <w:p w14:paraId="114CF4CD" w14:textId="4E15A09E" w:rsidR="00222C09" w:rsidRPr="00847327" w:rsidRDefault="00222C09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8A9E86" w14:textId="4222BA2B" w:rsidR="00714F34" w:rsidRPr="00847327" w:rsidRDefault="001707E5" w:rsidP="008B0960">
      <w:pPr>
        <w:spacing w:line="240" w:lineRule="exac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Q: Tobacco companies are ‘cleaning up’, they’re not </w:t>
      </w:r>
      <w:r w:rsidR="00026C5B" w:rsidRPr="008473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like that any</w:t>
      </w:r>
      <w:r w:rsidRPr="008473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more?</w:t>
      </w:r>
      <w:r w:rsidR="008B09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DAAD44B" w14:textId="77777777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653BD8" w14:textId="2420D1D1" w:rsidR="001F3884" w:rsidRPr="00847327" w:rsidRDefault="0046208F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There is very little evidence to support that claim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Electronic cigarette manufacturers are using many of the same strategies as tobacco companies have used in the past to sell “light” or “smoke-free” products. The evolution is clear – they are being marketed as the next “healthier” cigarette (US Department of Health and Human Services. </w:t>
      </w:r>
      <w:r w:rsidR="001F3884" w:rsidRPr="008473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E-cigarette use among youth and young adults. A Report of the Surgeon General.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Atlanta, GA: US Department of Health and Human Services, Centers for Disease Control and Prevention, National Center for Chronic Disease Prevention and Health Promotion, Office on Smoking and Health, 2016).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reality, the tobacco industry has long relied on nicotine addiction as a </w:t>
      </w:r>
      <w:r w:rsidRPr="0084732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strategy </w:t>
      </w:r>
      <w:r w:rsidR="008B0960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for</w:t>
      </w:r>
      <w:r w:rsidRPr="0084732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creating and </w:t>
      </w:r>
      <w:r w:rsidRPr="0084732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retaining customers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B584FD" w14:textId="77777777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BBCE9B" w14:textId="0ECAE93D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There are many examples of tobacco companies creating or purchasing electronic cigarette companies or brands</w:t>
      </w:r>
      <w:r w:rsidR="0046208F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brand VUSE is owned by RJ Reynolds Vapor Company, a subsidiary of the tobacco giant Reynolds America, and British American Tobacco, the largest tobacco company in the Europe, launched </w:t>
      </w:r>
      <w:proofErr w:type="spellStart"/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Vype</w:t>
      </w:r>
      <w:proofErr w:type="spellEnd"/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electronic cigarette product Blu was purchased from Lorillard, which was bought by RJ Reynolds, then sold to Imperial Tobacco. Altria, previously known as formerly Phillip Morris USA, owns </w:t>
      </w:r>
      <w:proofErr w:type="spellStart"/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MarkTen</w:t>
      </w:r>
      <w:proofErr w:type="spellEnd"/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09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3F1CAFB" w14:textId="77777777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04BB46" w14:textId="1AFFBC56" w:rsidR="001F3884" w:rsidRPr="00847327" w:rsidRDefault="00522934" w:rsidP="00274C0B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The World Health Organization, professional </w:t>
      </w:r>
      <w:r w:rsidR="008B0960"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respiratory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societies, and others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are particularly concerned about a newer “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nonprofit and independent”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organization, the Foundation for a Smoke-Free World, which in fact is funded by the Philip Morris International to the extent of $80 million annually for 12 years (</w:t>
      </w:r>
      <w:hyperlink r:id="rId5" w:history="1">
        <w:r w:rsidR="001F3884" w:rsidRPr="005101D9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  <w:shd w:val="clear" w:color="auto" w:fill="FFFFFF"/>
          </w:rPr>
          <w:t>http://www.who.int/mediacentre/news/statements/2017/philip-morris-foundation</w:t>
        </w:r>
      </w:hyperlink>
      <w:r w:rsidR="00CE524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a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cynical attempt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by the company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 continue their efforts to expand nicotine addiction and influence the </w:t>
      </w:r>
      <w:r w:rsidR="001F3884"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>world in favor of alternatives, like electronic cigarettes.</w:t>
      </w:r>
    </w:p>
    <w:p w14:paraId="070AE447" w14:textId="47E43229" w:rsidR="001F3884" w:rsidRPr="00847327" w:rsidRDefault="001F3884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04D5AE5" w14:textId="77777777" w:rsidR="00522934" w:rsidRPr="00847327" w:rsidRDefault="00D17C1D" w:rsidP="008B0960">
      <w:pPr>
        <w:spacing w:line="240" w:lineRule="exac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7327">
        <w:rPr>
          <w:rFonts w:asciiTheme="minorHAnsi" w:hAnsiTheme="minorHAnsi" w:cstheme="minorHAnsi"/>
          <w:b/>
          <w:sz w:val="22"/>
          <w:szCs w:val="22"/>
        </w:rPr>
        <w:t>Q: What is the situation with rates of use in children/adolescents in USA, EU, other regions?</w:t>
      </w:r>
    </w:p>
    <w:p w14:paraId="5C07D353" w14:textId="77777777" w:rsidR="00522934" w:rsidRPr="00847327" w:rsidRDefault="00522934" w:rsidP="00274C0B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3AF70228" w14:textId="72AA8701" w:rsidR="00522934" w:rsidRPr="00847327" w:rsidRDefault="0046208F" w:rsidP="00274C0B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47327">
        <w:rPr>
          <w:rFonts w:asciiTheme="minorHAnsi" w:hAnsiTheme="minorHAnsi" w:cstheme="minorHAnsi"/>
          <w:sz w:val="22"/>
          <w:szCs w:val="22"/>
        </w:rPr>
        <w:t>That is one of the issues we are trying to address.</w:t>
      </w:r>
      <w:r w:rsidR="008B0960">
        <w:rPr>
          <w:rFonts w:asciiTheme="minorHAnsi" w:hAnsiTheme="minorHAnsi" w:cstheme="minorHAnsi"/>
          <w:sz w:val="22"/>
          <w:szCs w:val="22"/>
        </w:rPr>
        <w:t xml:space="preserve"> </w:t>
      </w:r>
      <w:r w:rsidR="00522934" w:rsidRPr="00847327">
        <w:rPr>
          <w:rFonts w:asciiTheme="minorHAnsi" w:hAnsiTheme="minorHAnsi" w:cstheme="minorHAnsi"/>
          <w:sz w:val="22"/>
          <w:szCs w:val="22"/>
        </w:rPr>
        <w:t>In many nations</w:t>
      </w:r>
      <w:r w:rsidR="00AF1B36">
        <w:rPr>
          <w:rFonts w:asciiTheme="minorHAnsi" w:hAnsiTheme="minorHAnsi" w:cstheme="minorHAnsi"/>
          <w:sz w:val="22"/>
          <w:szCs w:val="22"/>
        </w:rPr>
        <w:t xml:space="preserve"> and regions</w:t>
      </w:r>
      <w:r w:rsidR="00522934" w:rsidRPr="00847327">
        <w:rPr>
          <w:rFonts w:asciiTheme="minorHAnsi" w:hAnsiTheme="minorHAnsi" w:cstheme="minorHAnsi"/>
          <w:sz w:val="22"/>
          <w:szCs w:val="22"/>
        </w:rPr>
        <w:t xml:space="preserve">, data are lacking and is why we recommended that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outine surveillance and surveys concerning combustible and electronic cigarette use 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>be performed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better understand the scope and health threat of tobacco products to youths.</w:t>
      </w:r>
    </w:p>
    <w:p w14:paraId="1319E675" w14:textId="77777777" w:rsidR="00522934" w:rsidRPr="00847327" w:rsidRDefault="00522934" w:rsidP="00274C0B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A60DABC" w14:textId="1AE81652" w:rsidR="005101D9" w:rsidRDefault="00E64191" w:rsidP="00274C0B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47327">
        <w:rPr>
          <w:rFonts w:asciiTheme="minorHAnsi" w:hAnsiTheme="minorHAnsi" w:cstheme="minorHAnsi"/>
          <w:color w:val="000000"/>
          <w:sz w:val="22"/>
          <w:szCs w:val="22"/>
        </w:rPr>
        <w:t>Here in North America, e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lectronic cigarette use has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>exploded</w:t>
      </w:r>
      <w:r w:rsidR="00522934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just during the past few months</w:t>
      </w:r>
      <w:r w:rsidR="005101D9">
        <w:rPr>
          <w:rFonts w:asciiTheme="minorHAnsi" w:hAnsiTheme="minorHAnsi" w:cstheme="minorHAnsi"/>
          <w:color w:val="000000"/>
          <w:sz w:val="22"/>
          <w:szCs w:val="22"/>
        </w:rPr>
        <w:t>, particularly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Juuls</w:t>
      </w:r>
      <w:proofErr w:type="spellEnd"/>
      <w:r w:rsidR="005101D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new</w:t>
      </w:r>
      <w:r w:rsidR="00B62C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electronic nicotine d</w:t>
      </w:r>
      <w:bookmarkStart w:id="0" w:name="_GoBack"/>
      <w:bookmarkEnd w:id="0"/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elivery device that is small, designed to be concealed, and delivers a nicotine content much higher than “typical” electronic cigarettes.</w:t>
      </w:r>
      <w:r w:rsidR="008B09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Their popularity is rapidly growing on school campuses in North America, as evidenced by </w:t>
      </w:r>
      <w:r w:rsidR="002F522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numerous 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recent reports in the American national news media</w:t>
      </w:r>
      <w:r w:rsidR="00F1064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53801BE6" w14:textId="77777777" w:rsidR="005101D9" w:rsidRDefault="005101D9" w:rsidP="00274C0B">
      <w:pPr>
        <w:spacing w:line="240" w:lineRule="exac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86AE8D9" w14:textId="351D4CFE" w:rsidR="00E64191" w:rsidRPr="00847327" w:rsidRDefault="00E64191" w:rsidP="008B0960">
      <w:pPr>
        <w:spacing w:line="240" w:lineRule="exact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phenomenon </w:t>
      </w:r>
      <w:r w:rsidRPr="00847327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will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spread worldwide.</w:t>
      </w:r>
      <w:r w:rsidR="008B096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84732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would be naïve to believe otherwise.</w:t>
      </w:r>
    </w:p>
    <w:p w14:paraId="7F261A6F" w14:textId="77777777" w:rsidR="0046208F" w:rsidRPr="00847327" w:rsidRDefault="0046208F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294F933" w14:textId="77777777" w:rsidR="00A80CDD" w:rsidRPr="00847327" w:rsidRDefault="00A80CDD" w:rsidP="00274C0B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847327">
        <w:rPr>
          <w:rFonts w:asciiTheme="minorHAnsi" w:hAnsiTheme="minorHAnsi" w:cstheme="minorHAnsi"/>
          <w:b/>
          <w:sz w:val="22"/>
          <w:szCs w:val="22"/>
        </w:rPr>
        <w:t>Q: Could your recommendations have unintended consequences for adult smokers who might want to use e-cigarettes to help them quit?</w:t>
      </w:r>
    </w:p>
    <w:p w14:paraId="08291397" w14:textId="77777777" w:rsidR="001707E5" w:rsidRPr="00847327" w:rsidRDefault="001707E5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1EA96CC" w14:textId="13A4B89F" w:rsidR="007562DD" w:rsidRDefault="00E64191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847327">
        <w:rPr>
          <w:rFonts w:asciiTheme="minorHAnsi" w:hAnsiTheme="minorHAnsi" w:cstheme="minorHAnsi"/>
          <w:sz w:val="22"/>
          <w:szCs w:val="22"/>
        </w:rPr>
        <w:t xml:space="preserve">I suppose that is possible, but as the </w:t>
      </w:r>
      <w:r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US 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Academies of Sciences, Engineering, and Medicine </w:t>
      </w:r>
      <w:r w:rsidR="002F522C">
        <w:rPr>
          <w:rFonts w:asciiTheme="minorHAnsi" w:hAnsiTheme="minorHAnsi" w:cstheme="minorHAnsi"/>
          <w:color w:val="000000" w:themeColor="text1"/>
          <w:sz w:val="22"/>
          <w:szCs w:val="22"/>
        </w:rPr>
        <w:t>concluded</w:t>
      </w:r>
      <w:r w:rsidRPr="00847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earlier this year, t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here is limited evidence that e-cigarettes </w:t>
      </w:r>
      <w:r w:rsidR="002F522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are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effective aids to promote smoking cessation.</w:t>
      </w:r>
      <w:r w:rsidR="008B09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There are very few controlled clinical trials (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Bullen C, </w:t>
      </w:r>
      <w:r w:rsidRPr="00847327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hu-HU"/>
        </w:rPr>
        <w:t xml:space="preserve">et al. </w:t>
      </w:r>
      <w:proofErr w:type="spellStart"/>
      <w:r w:rsidRPr="00847327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hu-HU"/>
        </w:rPr>
        <w:t>Lancet</w:t>
      </w:r>
      <w:proofErr w:type="spellEnd"/>
      <w:r w:rsidRPr="00847327">
        <w:rPr>
          <w:rFonts w:asciiTheme="minorHAnsi" w:hAnsiTheme="minorHAnsi" w:cstheme="minorHAnsi"/>
          <w:iCs/>
          <w:color w:val="222222"/>
          <w:sz w:val="22"/>
          <w:szCs w:val="22"/>
          <w:shd w:val="clear" w:color="auto" w:fill="FFFFFF"/>
          <w:lang w:val="hu-HU"/>
        </w:rPr>
        <w:t xml:space="preserve"> 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2013;382:1629-37</w:t>
      </w:r>
      <w:r w:rsidR="00E95CB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).</w:t>
      </w:r>
      <w:r w:rsidR="008B09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r w:rsidR="002F522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T</w:t>
      </w:r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he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long-term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effective</w:t>
      </w:r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ness</w:t>
      </w:r>
      <w:proofErr w:type="spellEnd"/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of electronic </w:t>
      </w:r>
      <w:proofErr w:type="spellStart"/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cigarettes</w:t>
      </w:r>
      <w:proofErr w:type="spellEnd"/>
      <w:r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as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a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smoking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cessation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strategy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was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rather</w:t>
      </w:r>
      <w:proofErr w:type="spellEnd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poor</w:t>
      </w:r>
      <w:proofErr w:type="spellEnd"/>
      <w:r w:rsidR="002F522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u-HU"/>
        </w:rPr>
        <w:t>.</w:t>
      </w:r>
    </w:p>
    <w:p w14:paraId="46B00D7E" w14:textId="77777777" w:rsidR="007562DD" w:rsidRDefault="007562DD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ECC4244" w14:textId="36224B48" w:rsidR="00847327" w:rsidRPr="00847327" w:rsidRDefault="002F522C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More worrisome, t</w:t>
      </w:r>
      <w:r w:rsidR="00847327" w:rsidRPr="00847327">
        <w:rPr>
          <w:rFonts w:asciiTheme="minorHAnsi" w:hAnsiTheme="minorHAnsi" w:cstheme="minorHAnsi"/>
          <w:sz w:val="22"/>
          <w:szCs w:val="22"/>
        </w:rPr>
        <w:t xml:space="preserve">wo recent studies </w:t>
      </w:r>
      <w:r w:rsidR="007562DD">
        <w:rPr>
          <w:rFonts w:asciiTheme="minorHAnsi" w:hAnsiTheme="minorHAnsi" w:cstheme="minorHAnsi"/>
          <w:sz w:val="22"/>
          <w:szCs w:val="22"/>
        </w:rPr>
        <w:t>indicate</w:t>
      </w:r>
      <w:r w:rsidR="00847327" w:rsidRPr="00847327">
        <w:rPr>
          <w:rFonts w:asciiTheme="minorHAnsi" w:hAnsiTheme="minorHAnsi" w:cstheme="minorHAnsi"/>
          <w:sz w:val="22"/>
          <w:szCs w:val="22"/>
        </w:rPr>
        <w:t xml:space="preserve"> that electronic cigarettes </w:t>
      </w:r>
      <w:r w:rsidR="00847327">
        <w:rPr>
          <w:rFonts w:asciiTheme="minorHAnsi" w:hAnsiTheme="minorHAnsi" w:cstheme="minorHAnsi"/>
          <w:sz w:val="22"/>
          <w:szCs w:val="22"/>
        </w:rPr>
        <w:t xml:space="preserve">have the opposite effect and </w:t>
      </w:r>
      <w:r w:rsidR="007562DD">
        <w:rPr>
          <w:rFonts w:asciiTheme="minorHAnsi" w:hAnsiTheme="minorHAnsi" w:cstheme="minorHAnsi"/>
          <w:sz w:val="22"/>
          <w:szCs w:val="22"/>
        </w:rPr>
        <w:t xml:space="preserve">may </w:t>
      </w:r>
      <w:r w:rsidR="00847327" w:rsidRPr="00847327">
        <w:rPr>
          <w:rFonts w:asciiTheme="minorHAnsi" w:hAnsiTheme="minorHAnsi" w:cstheme="minorHAnsi"/>
          <w:sz w:val="22"/>
          <w:szCs w:val="22"/>
        </w:rPr>
        <w:t xml:space="preserve">be a </w:t>
      </w:r>
      <w:r w:rsidR="00847327" w:rsidRPr="007562DD">
        <w:rPr>
          <w:rFonts w:asciiTheme="minorHAnsi" w:hAnsiTheme="minorHAnsi" w:cstheme="minorHAnsi"/>
          <w:i/>
          <w:sz w:val="22"/>
          <w:szCs w:val="22"/>
        </w:rPr>
        <w:t>barrier to smoking cessation</w:t>
      </w:r>
      <w:r w:rsidR="00847327" w:rsidRPr="00847327">
        <w:rPr>
          <w:rFonts w:asciiTheme="minorHAnsi" w:hAnsiTheme="minorHAnsi" w:cstheme="minorHAnsi"/>
          <w:sz w:val="22"/>
          <w:szCs w:val="22"/>
        </w:rPr>
        <w:t xml:space="preserve"> </w:t>
      </w:r>
      <w:r w:rsidR="00847327" w:rsidRPr="008473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</w:t>
      </w:r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>Kulik MC,</w:t>
      </w:r>
      <w:r w:rsidR="008B09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et al. Am J </w:t>
      </w:r>
      <w:proofErr w:type="spellStart"/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>Prev</w:t>
      </w:r>
      <w:proofErr w:type="spellEnd"/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Med. 2018; in press; </w:t>
      </w:r>
      <w:proofErr w:type="spellStart"/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>Kalkhoran</w:t>
      </w:r>
      <w:proofErr w:type="spellEnd"/>
      <w:r w:rsidR="00847327" w:rsidRPr="00847327">
        <w:rPr>
          <w:rFonts w:asciiTheme="minorHAnsi" w:hAnsiTheme="minorHAnsi" w:cstheme="minorHAnsi"/>
          <w:color w:val="000000"/>
          <w:sz w:val="22"/>
          <w:szCs w:val="22"/>
        </w:rPr>
        <w:t xml:space="preserve"> S, et al. Lancet Respir Med. 2016;4:116-28</w:t>
      </w:r>
      <w:r w:rsidR="007562D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6F2D660A" w14:textId="77777777" w:rsidR="00E64191" w:rsidRPr="00847327" w:rsidRDefault="00E64191" w:rsidP="00274C0B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sectPr w:rsidR="00E64191" w:rsidRPr="00847327" w:rsidSect="00B64A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921"/>
    <w:multiLevelType w:val="hybridMultilevel"/>
    <w:tmpl w:val="FA42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4"/>
    <w:rsid w:val="00026C5B"/>
    <w:rsid w:val="00133709"/>
    <w:rsid w:val="001707E5"/>
    <w:rsid w:val="001F3884"/>
    <w:rsid w:val="00222C09"/>
    <w:rsid w:val="00274C0B"/>
    <w:rsid w:val="002F522C"/>
    <w:rsid w:val="0046208F"/>
    <w:rsid w:val="004B13CA"/>
    <w:rsid w:val="005101D9"/>
    <w:rsid w:val="00522934"/>
    <w:rsid w:val="00714F34"/>
    <w:rsid w:val="007562DD"/>
    <w:rsid w:val="00847327"/>
    <w:rsid w:val="008B0960"/>
    <w:rsid w:val="00A80CDD"/>
    <w:rsid w:val="00AF1B36"/>
    <w:rsid w:val="00B62C3A"/>
    <w:rsid w:val="00B64A71"/>
    <w:rsid w:val="00B7021A"/>
    <w:rsid w:val="00BD3C86"/>
    <w:rsid w:val="00CE524C"/>
    <w:rsid w:val="00D17C1D"/>
    <w:rsid w:val="00DC7F49"/>
    <w:rsid w:val="00E64191"/>
    <w:rsid w:val="00E95CB6"/>
    <w:rsid w:val="00F10649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FE4AB"/>
  <w15:chartTrackingRefBased/>
  <w15:docId w15:val="{5E8516D3-862C-104E-A1A1-1B909F83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9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88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22C09"/>
    <w:pPr>
      <w:ind w:left="720"/>
    </w:pPr>
    <w:rPr>
      <w:rFonts w:asciiTheme="minorHAnsi" w:eastAsia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56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mediacentre/news/statements/2017/philip-morris-foun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noble</dc:creator>
  <cp:keywords/>
  <dc:description/>
  <cp:lastModifiedBy>Ferkol, Thomas</cp:lastModifiedBy>
  <cp:revision>5</cp:revision>
  <dcterms:created xsi:type="dcterms:W3CDTF">2018-05-24T17:20:00Z</dcterms:created>
  <dcterms:modified xsi:type="dcterms:W3CDTF">2018-05-24T17:51:00Z</dcterms:modified>
</cp:coreProperties>
</file>