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#8030e1e7-448f-4b41-b7ce-c5fe0e34c277</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Sebastian Gando</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Estudios clínicos</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Endoscopia respiratoria</w:t>
      </w:r>
    </w:p>
    <w:p/>
    <w:p>
      <w:pPr/>
      <w:r>
        <w:rPr>
          <w:rFonts w:ascii="Arial" w:hAnsi="Arial" w:eastAsia="Arial" w:cs="Arial"/>
          <w:sz w:val="28"/>
          <w:szCs w:val="28"/>
          <w:b w:val="1"/>
          <w:bCs w:val="1"/>
        </w:rPr>
        <w:t xml:space="preserve">Stent en vía aérea como manejo inicial de la hemoptisis amenazante</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La hemoptisis amenazante es un evento que pone en riesgo la vida. y es severa, masiva o amenazante de acuerdo a sus consecuencias clínicas, como el fallo respiratorio o la inestabilidad hemodinámica.Existen varias opciones de tratamiento. La broncoscopía inicial tiene como finalidad principal la identificación del sitio de sangrado, la remoción de sangre de la vía aérea y la de generar hemostasia generalmente ocluyendo el lugar de sangrado. La embolización por hemodinamia es altamente efectiva sin embargo puede no estar disponible. Algunas comunicaciones, generalmente reportes de casos, dan cuanta del uso de stents en vía aérea como tratamiento hemostático</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Estudio retrospectivo, con estadística descriptiva, de pacientes consecutivamente tratados por hemoptisis amenazante en el Servicio de Endoscopía del Hospital de Enfermedades Infecciosas Francisco Muñiz, CABA, durante el período agosto 2013 al 30 de junio de 2021, </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Sobre un total de 14.396 procedimientos broncoscópicos y no broncoscópicos, en 6.306 broncoscopía rígidas, se colocaron 1.219 stents. Broncoscopías por hemoptisis a 469 pacientes,  151con hemoptisis amenazante: 123 (81%) sexo masculino, edad 36 ± 14,7 años.
Se colocaron 165 stents siliconados:  1,14% del total de procedimientos, 2,6% de las broncoscopías rígidas, 13,45% de los stents colocados y 32% de las hemoptisis estudiadas respectivamente.
Media tiempo de uso de stent 22 días IQR 25-75 de 15,5 a 33. 9 pacientes fallecieron (6%).La causas: tuberculosis (TBC) en 65,6%,, aspergilosis en 13.9%, sin diagnóstico 13,25% y otras c 7,25%.
Se definió éxito como la interrupción de la hemoptisis y el fracaso como su continuidad.
Éxito en 146 pacientes (90%). Stents más frecuentemente en bronquio fuente derecho en 77 (51,3%) y en bronquio fuente izquierdo (BFI) en 53 (35,5%).
15 pacientes (10%) persistieron en el sangrado (Fracaso), sexo masculino 95%, edad 40 ± 13,6 años. El stent en BFI representó el 61,5% de los fallos, 7 pacientes requirieron hemodinamia (50%) y 4 (26.6%) fallecieron. 13 pacientes requirieron cambio de prótesis (8,6%): 9 por persistencia de sangrado, 3 por desplazamiento, y 1 por intolerancia </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Estudio, sobre el uso de stents para hemostasia en una población de pacientes con hemoptisis amenazante de origen predominante TBC- aspergilosis, en único centro de endoscopía de institución dedicada a enfermedades infecciosas y sin disponibilidad inmediata de hemodinamia.
Primer estudio que muestra por un lado un amplio número de pacientes con hemoptisis amenazante tratados con Stents siliconados no modificados y por otro lado en su mayoría como tratamiento hemostático definitivo.
Los autores concluyen que en caso de no poseer tratamiento de embolización por radioscopia, el uso de stents siliconados no modificados en este tipo de pacientes presenta una opción con alta eficacia y escasas complicaciones para la hemostasia definitiva en las hemoptisis amenazantes.</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2021-11-08T06:33:29+00:00</dcterms:created>
  <dcterms:modified xsi:type="dcterms:W3CDTF">2021-11-08T06:33:29+00:00</dcterms:modified>
</cp:coreProperties>
</file>

<file path=docProps/custom.xml><?xml version="1.0" encoding="utf-8"?>
<Properties xmlns="http://schemas.openxmlformats.org/officeDocument/2006/custom-properties" xmlns:vt="http://schemas.openxmlformats.org/officeDocument/2006/docPropsVTypes"/>
</file>