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Trabajo #0b2d7dc2-5dcf-4208-9e89-a1482a86b90f</w:t>
      </w:r>
    </w:p>
    <w:p/>
    <w:p>
      <w:pPr/>
      <w:r>
        <w:rPr/>
        <w:t xml:space="preserve">Congresos ALAT</w:t>
      </w:r>
    </w:p>
    <w:p/>
    <w:p>
      <w:pPr/>
      <w:r>
        <w:rPr>
          <w:rFonts w:ascii="Arial" w:hAnsi="Arial" w:eastAsia="Arial" w:cs="Arial"/>
          <w:sz w:val="24"/>
          <w:szCs w:val="24"/>
          <w:b w:val="1"/>
          <w:bCs w:val="1"/>
        </w:rPr>
        <w:t xml:space="preserve">Autor responsable</w:t>
      </w:r>
    </w:p>
    <w:p>
      <w:pPr/>
      <w:r>
        <w:rPr>
          <w:rFonts w:ascii="Arial" w:hAnsi="Arial" w:eastAsia="Arial" w:cs="Arial"/>
          <w:sz w:val="24"/>
          <w:szCs w:val="24"/>
          <w:b w:val="0"/>
          <w:bCs w:val="0"/>
        </w:rPr>
        <w:t xml:space="preserve">Fernando José Saldías Peñafiel</w:t>
      </w:r>
    </w:p>
    <w:p/>
    <w:p>
      <w:pPr/>
      <w:r>
        <w:rPr>
          <w:rFonts w:ascii="Arial" w:hAnsi="Arial" w:eastAsia="Arial" w:cs="Arial"/>
          <w:sz w:val="24"/>
          <w:szCs w:val="24"/>
          <w:b w:val="1"/>
          <w:bCs w:val="1"/>
        </w:rPr>
        <w:t xml:space="preserve">Modalidad</w:t>
      </w:r>
    </w:p>
    <w:p>
      <w:pPr/>
      <w:r>
        <w:rPr>
          <w:rFonts w:ascii="Arial" w:hAnsi="Arial" w:eastAsia="Arial" w:cs="Arial"/>
          <w:sz w:val="24"/>
          <w:szCs w:val="24"/>
          <w:b w:val="0"/>
          <w:bCs w:val="0"/>
        </w:rPr>
        <w:t xml:space="preserve">Trabajo Científicos - Estudios clínicos</w:t>
      </w:r>
    </w:p>
    <w:p/>
    <w:p>
      <w:pPr/>
      <w:r>
        <w:rPr>
          <w:rFonts w:ascii="Arial" w:hAnsi="Arial" w:eastAsia="Arial" w:cs="Arial"/>
          <w:sz w:val="24"/>
          <w:szCs w:val="24"/>
          <w:b w:val="1"/>
          <w:bCs w:val="1"/>
        </w:rPr>
        <w:t xml:space="preserve">Área temática</w:t>
      </w:r>
    </w:p>
    <w:p>
      <w:pPr/>
      <w:r>
        <w:rPr>
          <w:rFonts w:ascii="Arial" w:hAnsi="Arial" w:eastAsia="Arial" w:cs="Arial"/>
          <w:sz w:val="24"/>
          <w:szCs w:val="24"/>
          <w:b w:val="0"/>
          <w:bCs w:val="0"/>
        </w:rPr>
        <w:t xml:space="preserve">Sueño</w:t>
      </w:r>
    </w:p>
    <w:p/>
    <w:p>
      <w:pPr/>
      <w:r>
        <w:rPr>
          <w:rFonts w:ascii="Arial" w:hAnsi="Arial" w:eastAsia="Arial" w:cs="Arial"/>
          <w:sz w:val="28"/>
          <w:szCs w:val="28"/>
          <w:b w:val="1"/>
          <w:bCs w:val="1"/>
        </w:rPr>
        <w:t xml:space="preserve">Prevalencia de síndrome metabólico en población adulta chilena clasificada según el riesgo de síndrome de apnea-hipopnea obstructiva del sueño. Datos de la Encuesta Nacional de Salud 2016-2017.</w:t>
      </w:r>
    </w:p>
    <w:p/>
    <w:p>
      <w:pPr/>
      <w:r>
        <w:rPr>
          <w:rFonts w:ascii="Arial" w:hAnsi="Arial" w:eastAsia="Arial" w:cs="Arial"/>
          <w:sz w:val="24"/>
          <w:szCs w:val="24"/>
          <w:b w:val="1"/>
          <w:bCs w:val="1"/>
        </w:rPr>
        <w:t xml:space="preserve">Introducción</w:t>
      </w:r>
    </w:p>
    <w:p>
      <w:pPr/>
      <w:r>
        <w:rPr>
          <w:rFonts w:ascii="Arial" w:hAnsi="Arial" w:eastAsia="Arial" w:cs="Arial"/>
          <w:sz w:val="24"/>
          <w:szCs w:val="24"/>
          <w:b w:val="0"/>
          <w:bCs w:val="0"/>
        </w:rPr>
        <w:t xml:space="preserve">El síndrome metabólico (SM) se ha constituido en un importante problema de salud pública debido a su asociación a mayor riesgo de enfermedad cardiovascular. El síndrome de apnea-hipopnea obstructiva del sueño (SAHOS) es el principal trastorno respiratorio del sueño de la población adulta, frecuentemente subdiagnosticada que comparte factores de riesgo con el SM.Objetivo: Examinar la asociación entre riesgo de SAHOS y SM en la población adulta chilena seleccionada de la Encuesta Nacional de Salud (ENS 2016-2017).</w:t>
      </w:r>
    </w:p>
    <w:p/>
    <w:p>
      <w:pPr/>
      <w:r>
        <w:rPr>
          <w:rFonts w:ascii="Arial" w:hAnsi="Arial" w:eastAsia="Arial" w:cs="Arial"/>
          <w:sz w:val="24"/>
          <w:szCs w:val="24"/>
          <w:b w:val="1"/>
          <w:bCs w:val="1"/>
        </w:rPr>
        <w:t xml:space="preserve">Material y Métodos</w:t>
      </w:r>
    </w:p>
    <w:p>
      <w:pPr/>
      <w:r>
        <w:rPr>
          <w:rFonts w:ascii="Arial" w:hAnsi="Arial" w:eastAsia="Arial" w:cs="Arial"/>
          <w:sz w:val="24"/>
          <w:szCs w:val="24"/>
          <w:b w:val="0"/>
          <w:bCs w:val="0"/>
        </w:rPr>
        <w:t xml:space="preserve">Estudio transversal analítico que midió las variables clínicas, antropométricas y exámenes de laboratorio en 3.677 sujetos mayores de 15 años residentes en las diferentes áreas geográficas del país. El SM fue definido según los criterios de la International Diabetes Federation (IDF) 2005 y se emplearon las variables del Cuestionario de Berlín para estimar el riesgo de SAHOS en la población. Evaluamos la prevalencia de SM según el riesgo de SAHOS de la población, las variables del SM asociadas con mayor fuerza a riesgo alto de SAHOS, el área bajo la curva receptor operador de los principales predictores clínicos y metabólicos del riesgo de SAHOS, su sensibilidad, especificidad y valores predictivos.</w:t>
      </w:r>
    </w:p>
    <w:p/>
    <w:p>
      <w:pPr/>
      <w:r>
        <w:rPr>
          <w:rFonts w:ascii="Arial" w:hAnsi="Arial" w:eastAsia="Arial" w:cs="Arial"/>
          <w:sz w:val="24"/>
          <w:szCs w:val="24"/>
          <w:b w:val="1"/>
          <w:bCs w:val="1"/>
        </w:rPr>
        <w:t xml:space="preserve">Resultados</w:t>
      </w:r>
    </w:p>
    <w:p>
      <w:pPr/>
      <w:r>
        <w:rPr>
          <w:rFonts w:ascii="Arial" w:hAnsi="Arial" w:eastAsia="Arial" w:cs="Arial"/>
          <w:sz w:val="24"/>
          <w:szCs w:val="24"/>
          <w:b w:val="0"/>
          <w:bCs w:val="0"/>
        </w:rPr>
        <w:t xml:space="preserve">La edad media de la muestra poblacional encuestada era 49,1 ± 19,2 años (rango: 15-98), 63,2% mujeres, 29% fumadores activos y 36,8% obesos. Existe una elevada prevalencia de SM (45%) y riesgo elevado de SAHOS (42%) en la población chilena. Los individuos con riesgo elevado de SAHOS presentaron una prevalencia más alta de SM (61%) en comparación con el grupo de riesgo bajo de SAHOS (34%). La circunferencia de cintura (CC) elevada, glicemia en ayunas elevada, colesterol HDL sérico y el SM se asociaron con mayor riesgo de SAHOS (p&lt;0,001). En el análisis multivariado, las principales variables asociadas al riesgo de SAHOS fueron la edad, consumo de tabaco, circunferencia de cintura, sueño poco reparador, somnolencia diurna excesiva, uso de hipnóticos, antecedente de depresión, hipercolesterolemia y síndrome metabólico. Los predictores clínicos y de laboratorio más sensibles asociados al riesgo de SAHOS fueron la CC y SM y los más específicos fueron la glicemia y triglicéridos séricos elevados.</w:t>
      </w:r>
    </w:p>
    <w:p/>
    <w:p>
      <w:pPr/>
      <w:r>
        <w:rPr>
          <w:rFonts w:ascii="Arial" w:hAnsi="Arial" w:eastAsia="Arial" w:cs="Arial"/>
          <w:sz w:val="24"/>
          <w:szCs w:val="24"/>
          <w:b w:val="1"/>
          <w:bCs w:val="1"/>
        </w:rPr>
        <w:t xml:space="preserve">Conclusiones</w:t>
      </w:r>
    </w:p>
    <w:p>
      <w:pPr/>
      <w:r>
        <w:rPr>
          <w:rFonts w:ascii="Arial" w:hAnsi="Arial" w:eastAsia="Arial" w:cs="Arial"/>
          <w:sz w:val="24"/>
          <w:szCs w:val="24"/>
          <w:b w:val="0"/>
          <w:bCs w:val="0"/>
        </w:rPr>
        <w:t xml:space="preserve">Se demostró la asociación entre SM y riesgo elevado de SAHOS en la población chilena. El SM en conjunto y cada variable por separado permitió predecir el riesgo de SAHOS de la población.</w:t>
      </w:r>
    </w:p>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2021-11-08T06:33:28+00:00</dcterms:created>
  <dcterms:modified xsi:type="dcterms:W3CDTF">2021-11-08T06:33:28+00:00</dcterms:modified>
</cp:coreProperties>
</file>

<file path=docProps/custom.xml><?xml version="1.0" encoding="utf-8"?>
<Properties xmlns="http://schemas.openxmlformats.org/officeDocument/2006/custom-properties" xmlns:vt="http://schemas.openxmlformats.org/officeDocument/2006/docPropsVTypes"/>
</file>