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/>
        <w:t xml:space="preserve">Trabajo #ea4ae353-a1ed-49ba-9726-c090f31733da</w:t>
      </w:r>
    </w:p>
    <w:p/>
    <w:p>
      <w:pPr/>
      <w:r>
        <w:rPr/>
        <w:t xml:space="preserve">Congresos ALAT</w:t>
      </w:r>
    </w:p>
    <w:p/>
    <w:p>
      <w:pPr/>
      <w:r>
        <w:rPr>
          <w:rFonts w:ascii="Arial" w:hAnsi="Arial" w:eastAsia="Arial" w:cs="Arial"/>
          <w:sz w:val="24"/>
          <w:szCs w:val="24"/>
          <w:b w:val="1"/>
          <w:bCs w:val="1"/>
        </w:rPr>
        <w:t xml:space="preserve">Autor responsable</w:t>
      </w:r>
    </w:p>
    <w:p>
      <w:pPr/>
      <w:r>
        <w:rPr>
          <w:rFonts w:ascii="Arial" w:hAnsi="Arial" w:eastAsia="Arial" w:cs="Arial"/>
          <w:sz w:val="24"/>
          <w:szCs w:val="24"/>
          <w:b w:val="0"/>
          <w:bCs w:val="0"/>
        </w:rPr>
        <w:t xml:space="preserve">Jaime Obregon</w:t>
      </w:r>
    </w:p>
    <w:p/>
    <w:p>
      <w:pPr/>
      <w:r>
        <w:rPr>
          <w:rFonts w:ascii="Arial" w:hAnsi="Arial" w:eastAsia="Arial" w:cs="Arial"/>
          <w:sz w:val="24"/>
          <w:szCs w:val="24"/>
          <w:b w:val="1"/>
          <w:bCs w:val="1"/>
        </w:rPr>
        <w:t xml:space="preserve">Modalidad</w:t>
      </w:r>
    </w:p>
    <w:p>
      <w:pPr/>
      <w:r>
        <w:rPr>
          <w:rFonts w:ascii="Arial" w:hAnsi="Arial" w:eastAsia="Arial" w:cs="Arial"/>
          <w:sz w:val="24"/>
          <w:szCs w:val="24"/>
          <w:b w:val="0"/>
          <w:bCs w:val="0"/>
        </w:rPr>
        <w:t xml:space="preserve">Trabajo Científicos - Estudios clínicos</w:t>
      </w:r>
    </w:p>
    <w:p/>
    <w:p>
      <w:pPr/>
      <w:r>
        <w:rPr>
          <w:rFonts w:ascii="Arial" w:hAnsi="Arial" w:eastAsia="Arial" w:cs="Arial"/>
          <w:sz w:val="24"/>
          <w:szCs w:val="24"/>
          <w:b w:val="1"/>
          <w:bCs w:val="1"/>
        </w:rPr>
        <w:t xml:space="preserve">Área temática</w:t>
      </w:r>
    </w:p>
    <w:p>
      <w:pPr/>
      <w:r>
        <w:rPr>
          <w:rFonts w:ascii="Arial" w:hAnsi="Arial" w:eastAsia="Arial" w:cs="Arial"/>
          <w:sz w:val="24"/>
          <w:szCs w:val="24"/>
          <w:b w:val="0"/>
          <w:bCs w:val="0"/>
        </w:rPr>
        <w:t xml:space="preserve">Circulación pulmonar</w:t>
      </w:r>
    </w:p>
    <w:p/>
    <w:p>
      <w:pPr/>
      <w:r>
        <w:rPr>
          <w:rFonts w:ascii="Arial" w:hAnsi="Arial" w:eastAsia="Arial" w:cs="Arial"/>
          <w:sz w:val="28"/>
          <w:szCs w:val="28"/>
          <w:b w:val="1"/>
          <w:bCs w:val="1"/>
        </w:rPr>
        <w:t xml:space="preserve">Caracterización de pacientes hospitalizados por COVID-19 complicados con TEP agudo en el Instituto Nacional del Tórax</w:t>
      </w:r>
    </w:p>
    <w:p/>
    <w:p>
      <w:pPr/>
      <w:r>
        <w:rPr>
          <w:rFonts w:ascii="Arial" w:hAnsi="Arial" w:eastAsia="Arial" w:cs="Arial"/>
          <w:sz w:val="24"/>
          <w:szCs w:val="24"/>
          <w:b w:val="1"/>
          <w:bCs w:val="1"/>
        </w:rPr>
        <w:t xml:space="preserve">Introducción</w:t>
      </w:r>
    </w:p>
    <w:p>
      <w:pPr/>
      <w:r>
        <w:rPr>
          <w:rFonts w:ascii="Arial" w:hAnsi="Arial" w:eastAsia="Arial" w:cs="Arial"/>
          <w:sz w:val="24"/>
          <w:szCs w:val="24"/>
          <w:b w:val="0"/>
          <w:bCs w:val="0"/>
        </w:rPr>
        <w:t xml:space="preserve">Las publicaciones sobre Tromboembolismo Pulmonar (TEP) agudo en COVID-19 se han centrado en incidencia y terapia. No obstante, el conocimiento de su evolución en nuestra población aún es limitado. Objetivo: Caracterizar la población de pacientes hospitalizados por COVID-19 que presentaron TEP agudo durante su estadía en el Instituto Nacional del Tórax (INT)</w:t>
      </w:r>
    </w:p>
    <w:p/>
    <w:p>
      <w:pPr/>
      <w:r>
        <w:rPr>
          <w:rFonts w:ascii="Arial" w:hAnsi="Arial" w:eastAsia="Arial" w:cs="Arial"/>
          <w:sz w:val="24"/>
          <w:szCs w:val="24"/>
          <w:b w:val="1"/>
          <w:bCs w:val="1"/>
        </w:rPr>
        <w:t xml:space="preserve">Material y Métodos</w:t>
      </w:r>
    </w:p>
    <w:p>
      <w:pPr/>
      <w:r>
        <w:rPr>
          <w:rFonts w:ascii="Arial" w:hAnsi="Arial" w:eastAsia="Arial" w:cs="Arial"/>
          <w:sz w:val="24"/>
          <w:szCs w:val="24"/>
          <w:b w:val="0"/>
          <w:bCs w:val="0"/>
        </w:rPr>
        <w:t xml:space="preserve">Estudio retrospectivo de pacientes hospitalizados por COVID-19 en el INT (con PCR positiva) entre el 1 de abril de 2020 al 31 de marzo de 2021, quienes presentaron TEP confirmado por Angio-TC de tórax (Angio-TC). Se registraron variables clínicas, laboratorio, radiológicas y mortalidad durante su estadía. Se realizó seguimiento telefónico 90 días post-alta para conocer desenlaces como presencia de disnea, síncope, reingreso hospitalario y muerte</w:t>
      </w:r>
    </w:p>
    <w:p/>
    <w:p>
      <w:pPr/>
      <w:r>
        <w:rPr>
          <w:rFonts w:ascii="Arial" w:hAnsi="Arial" w:eastAsia="Arial" w:cs="Arial"/>
          <w:sz w:val="24"/>
          <w:szCs w:val="24"/>
          <w:b w:val="1"/>
          <w:bCs w:val="1"/>
        </w:rPr>
        <w:t xml:space="preserve">Resultados</w:t>
      </w:r>
    </w:p>
    <w:p>
      <w:pPr/>
      <w:r>
        <w:rPr>
          <w:rFonts w:ascii="Arial" w:hAnsi="Arial" w:eastAsia="Arial" w:cs="Arial"/>
          <w:sz w:val="24"/>
          <w:szCs w:val="24"/>
          <w:b w:val="0"/>
          <w:bCs w:val="0"/>
        </w:rPr>
        <w:t xml:space="preserve">De 528 pacientes ingresados por COVID-19 durante el período mencionado se efectuó Angio-TC en 106 de ellos, confirmando TEP agudo en 20 (18,8%) pacientes. Éstos últimos presentaron edad de 57 (±3) años, 5 (25%) mujeres, HTA en 10 (50%), DM2 en 5 (25%) y 7 (35%) fueron obesos. En los 20 (100%) pacientes se implementó al ingreso alguna estrategia de prevención de TEP (profilaxis o anticoagulación con heparina), con 9 (45%) pacientes requiriendo UCI a su llegada. La sospecha de TEP se estableció en 15 (78,95%) por aparición/agravamiento de insuficiencia respiratoria y en 4 (21,05%) por Dímero D (DD) persistentemente elevado. Al momento del Angio-TC, la mediana de Dímero D (DD) de la cohorte fue 3.980 ng/mL (2.023,5 - 8.151,5), siendo 3 veces sobre LSN en 15 (75%). El Angio-TC fue efectuado a 12 (6,5-20) días desde el ingreso, con 4 (20%) de decesos durante la estadía. 20 (100%) de TEP se presentaron con neumonía, 12 (60%) bilaterales y 3 (15%) asociados a infarto pulmonar. De la cohorte 9 (45%) fueron centrales, siendo 5 (25%) en tronco o ramas principales y 4 (20%) lobares. En los 11 (55%) periféricos restantes, 7 (35%) fueron segmentarios y 4 (20%) subsegmentarios. En el seguimiento post-alta, 16 (80%) pacientes fueron contactados telefónicamente tras 90 días. 6 (37,5%) refirieron algún grado de disnea. Ninguno presentó síncope, reingresos hospitalarios ni decesos</w:t>
      </w:r>
    </w:p>
    <w:p/>
    <w:p>
      <w:pPr/>
      <w:r>
        <w:rPr>
          <w:rFonts w:ascii="Arial" w:hAnsi="Arial" w:eastAsia="Arial" w:cs="Arial"/>
          <w:sz w:val="24"/>
          <w:szCs w:val="24"/>
          <w:b w:val="1"/>
          <w:bCs w:val="1"/>
        </w:rPr>
        <w:t xml:space="preserve">Conclusiones</w:t>
      </w:r>
    </w:p>
    <w:p>
      <w:pPr/>
      <w:r>
        <w:rPr>
          <w:rFonts w:ascii="Arial" w:hAnsi="Arial" w:eastAsia="Arial" w:cs="Arial"/>
          <w:sz w:val="24"/>
          <w:szCs w:val="24"/>
          <w:b w:val="0"/>
          <w:bCs w:val="0"/>
        </w:rPr>
        <w:t xml:space="preserve">Nuestra cohorte de TEP asociado a COVID-19 presenta similitud a las series publicadas. Destaca su mortalidad intrahospitalaria, no asociada únicamente a la aparición de TEP. En el seguimiento no hubo mayores complicaciones, aunque se requiere una observación más prolongada para determinar cronicidad</w:t>
      </w:r>
    </w:p>
    <w:p/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2021-11-08T06:33:30+00:00</dcterms:created>
  <dcterms:modified xsi:type="dcterms:W3CDTF">2021-11-08T06:33:30+00:00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