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#db396275-c75c-48dc-9c0c-d6c286a7182a</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Catalina Gonzalez Aviles</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Endoscopia respiratoria</w:t>
      </w:r>
    </w:p>
    <w:p/>
    <w:p>
      <w:pPr/>
      <w:r>
        <w:rPr>
          <w:rFonts w:ascii="Arial" w:hAnsi="Arial" w:eastAsia="Arial" w:cs="Arial"/>
          <w:sz w:val="28"/>
          <w:szCs w:val="28"/>
          <w:b w:val="1"/>
          <w:bCs w:val="1"/>
        </w:rPr>
        <w:t xml:space="preserve">Estenosis traqueal post-Intubación posterior a infección grave por SARSCOV-2. Serie de casos y revisión sistemática de la literatura</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Desde la aparición de la enfermedad por SARSCoV-2, han cambiado paradigmas en la ciencia médica y actualmente nos enfrentamos a las repercusiones a largo plazo que algunos de los pacientes desarrollan. Dentro del grupo de pacientes que han cursado con neumonía severa - Síndrome de dificultad respiratorio agudo (SDRA) por SARSCoV-2 y que requirieron intubación orotraqueal (IOT) se documentan complicaciones multisistémicas, dentro de las cuales se destacan las relacionadas con la vía aérea que se presentan en forma de estenosis benignas, siendo las subglóticas tipo simples o complejas las más frecuentes.
Presentamos una serie de casos de pacientes con estenosis traqueales post-IOT por COVID-19 en un hospital universitario de cuarto nivel, con diagnóstico, seguimiento y manejo por un grupo multidisciplinario de vía aérea.</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Serie de casos prospectiva, con seguimiento durante 7 meses, desde febrero hasta agosto de 2021 de pacientes que asistieron al Hospital Universitario San Ignacio, en Bogotá, Colombia. </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Se describen 7 pacientes (tabla) que ingresaron por clínica de disnea mMRC 3-4, asociado a estridor laríngeo, documentándose estenosis traqueales adquiridas de localización subglótica, con diferente nivel de complejidad, las cuales fueron manejadas mediante dilatación neumática con balón por vía broncoscópica. Dentro de la población estudiada se describen 7 pacientes, 3 hombres y 4 mujeres, con edades entre 32 a 66 años, con tiempo de intubación orotraqueal entre 13 a 21 días con un promedio de 15,5 días; entre los síntomas que presentaron en el momento de consulta a urgencias fueron: disnea 100% (7 pacientes ), fatiga 100% (7 pacientes), dolor torácico 85% (6 pacientes), tos 14.5% (1 paciente); las comorbilidades más comunes fueron: hipertensión arterial 57% (4 personas), obesidad 57% (4 personas ) y diabetes mellitus 28.5% (2 pacientes). Se describen igualmente los hallazgos escanográficos de todos los pacientes.  En la broncoscopia inicial, la estenosis se presentó con compromiso de la permeabilidad de la vía aérea del 90% en el 28.5%, 80-70% en el 57% y &lt;60% en 14.2%, siendo todos los casos estenosis complejas; la ocurrencia de estenosis múltiples se observó en 28.5% (2 pacientes). Fue necesaria intervención quirúrgica (resección y reconstrucción traqueal) en 4 pacientes (57%), quienes presentaron reconsulta dentro de los 15 días posteriores a la segunda dilatación.   </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Se describe en una serie de casos prospectiva las características demográficas, clínicas, radiológicas y endoscópicas de 7 pacientes con estenosis traqueal benigna secundaria a intubación orotraqueal debida a neumonía grave por COVID-19. Una revisión sistemática de la literatura mostró un total de 13 casos publicados hasta el momento. Se describen los hallazgos publicados y se comparan con los presentados. </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2021-11-08T06:33:29+00:00</dcterms:created>
  <dcterms:modified xsi:type="dcterms:W3CDTF">2021-11-08T06:33:29+00:00</dcterms:modified>
</cp:coreProperties>
</file>

<file path=docProps/custom.xml><?xml version="1.0" encoding="utf-8"?>
<Properties xmlns="http://schemas.openxmlformats.org/officeDocument/2006/custom-properties" xmlns:vt="http://schemas.openxmlformats.org/officeDocument/2006/docPropsVTypes"/>
</file>