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#bc8f82ad-b0ca-4dbd-a6cc-dec0798557f6</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Diego Bastos Porto Diego</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Medicina crítica</w:t>
      </w:r>
    </w:p>
    <w:p/>
    <w:p>
      <w:pPr/>
      <w:r>
        <w:rPr>
          <w:rFonts w:ascii="Arial" w:hAnsi="Arial" w:eastAsia="Arial" w:cs="Arial"/>
          <w:sz w:val="28"/>
          <w:szCs w:val="28"/>
          <w:b w:val="1"/>
          <w:bCs w:val="1"/>
        </w:rPr>
        <w:t xml:space="preserve">Clinical characteristics of covid-19 patients admitted to ICU in a quaternary hospital in Brazil</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SARS-CoV-2 infection (COVID-19) brought many challenges to healthcare professionals, with an overwhelming demand for intensive care. An adequate knowledge of admitted patient profile and outcomes may be useful in strategic planning, resource allocation and Intensive Care Units (ICU) benchmarking. This study aimed to describe and analyze ICU admitted patients in a quaternary hospital in Brazil.</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Cohort of critically ill COVID-19 followed until hospital discharge or death. We used descriptive statistics including calculation of the mean, standard deviation, median and interquartile range or frequency and percentage of key demographic variables and outcomes.</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A total of 302 patients were included. The median age was 69.5 years (IQR=25.5), with a slightly higher proportion of males (53.6%). SAPS-3 and ISARIC 4c risk scores were 48.5 (15.24) and 10.2 (4.31), respectively. The median for length of ICU and hospital stay was 8 days (IQR=14.0) and 12 days (IQR=20.0), respectively. ICU readmission was seen in 12.3% of included patients. Our absolute mortality rate was 37%, while SAPS-3 predicted mortality was 27%, while ISARIC’s 4c risk score was 28.2%. This highlights an overall higher than predicted mortality rate.</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Gathering robust and reliable patient data in order to analyze outcomes is of utmost importance in the setting of critical care. The use of performance indicators may help in addressing key ICU issues and potentially preventable healthcare associated complications, especially in the pandemic’s scenario. An adequate knowledge of patient demographics and outcomes may be useful in this setting.</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2021-11-08T06:33:30+00:00</dcterms:created>
  <dcterms:modified xsi:type="dcterms:W3CDTF">2021-11-08T06:33:30+00:00</dcterms:modified>
</cp:coreProperties>
</file>

<file path=docProps/custom.xml><?xml version="1.0" encoding="utf-8"?>
<Properties xmlns="http://schemas.openxmlformats.org/officeDocument/2006/custom-properties" xmlns:vt="http://schemas.openxmlformats.org/officeDocument/2006/docPropsVTypes"/>
</file>