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Trabajo #75e73763-aed9-4a7a-b805-fbab503d8e5b</w:t>
      </w:r>
    </w:p>
    <w:p/>
    <w:p>
      <w:pPr/>
      <w:r>
        <w:rPr/>
        <w:t xml:space="preserve">Congresos ALAT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Autor responsable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Luis Gómez Paciello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Modalidad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Trabajo Científicos - Estudios epidemiológicos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Área temática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Tuberculosis</w:t>
      </w:r>
    </w:p>
    <w:p/>
    <w:p>
      <w:pPr/>
      <w:r>
        <w:rPr>
          <w:rFonts w:ascii="Arial" w:hAnsi="Arial" w:eastAsia="Arial" w:cs="Arial"/>
          <w:sz w:val="28"/>
          <w:szCs w:val="28"/>
          <w:b w:val="1"/>
          <w:bCs w:val="1"/>
        </w:rPr>
        <w:t xml:space="preserve">Robustness of tuberculosis diagnoses in Paraguayan penitentiary centers. A retrospective cohort study.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Introducción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The prevalence of tuberculosis (TB) among the incarcerated population has been frequently reported to be larger than the one presented at the free community. In a resource-constrained environment, along with higher incidence rates, it is imperative to assess the most efficient method to screen and diagnose, an evaluation within a framework based on symptoms, microbiological, radiological, and circumstantial evidence. This study evaluates the robustness of established TB diagnosis in penitentiary institutions in Paraguay from 2010-2019. 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Material y Métodos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A database was retrieved from the National Tuberculosis Program (NTP) with TB cases from Paraguayan penitentiaries. Subsequently, a retrospective analysis was performed, and all cases were classified into 3 groups; definite TB, probable TB, or possible TB, based on the actual WHO case definitions. 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Resultados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A total of 2660 (88.43%) cases were identified as definitive TB, 57 (1.89%) as probable TB, and 291 (9.67%) were possible TB cases. Under the algorithm used for this research, 2717 cases were counted with a robust diagnosis, whereas 291 were not.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Conclusiones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In Paraguayan prisons, a high percentage of TB diagnosis is established by the WHO's definitions and are therefore considered robust.</w:t>
      </w:r>
    </w:p>
    <w:p/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2021-11-08T06:33:29+00:00</dcterms:created>
  <dcterms:modified xsi:type="dcterms:W3CDTF">2021-11-08T06:33:29+00:00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