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Trabajo #43d74623-2acf-4a2b-aeda-4fba41563ecf</w:t>
      </w:r>
    </w:p>
    <w:p/>
    <w:p>
      <w:pPr/>
      <w:r>
        <w:rPr/>
        <w:t xml:space="preserve">Congresos ALAT</w:t>
      </w:r>
    </w:p>
    <w:p/>
    <w:p>
      <w:pPr/>
      <w:r>
        <w:rPr>
          <w:rFonts w:ascii="Arial" w:hAnsi="Arial" w:eastAsia="Arial" w:cs="Arial"/>
          <w:sz w:val="24"/>
          <w:szCs w:val="24"/>
          <w:b w:val="1"/>
          <w:bCs w:val="1"/>
        </w:rPr>
        <w:t xml:space="preserve">Autor responsable</w:t>
      </w:r>
    </w:p>
    <w:p>
      <w:pPr/>
      <w:r>
        <w:rPr>
          <w:rFonts w:ascii="Arial" w:hAnsi="Arial" w:eastAsia="Arial" w:cs="Arial"/>
          <w:sz w:val="24"/>
          <w:szCs w:val="24"/>
          <w:b w:val="0"/>
          <w:bCs w:val="0"/>
        </w:rPr>
        <w:t xml:space="preserve">Dolfus Santiago Romero Rojas</w:t>
      </w:r>
    </w:p>
    <w:p/>
    <w:p>
      <w:pPr/>
      <w:r>
        <w:rPr>
          <w:rFonts w:ascii="Arial" w:hAnsi="Arial" w:eastAsia="Arial" w:cs="Arial"/>
          <w:sz w:val="24"/>
          <w:szCs w:val="24"/>
          <w:b w:val="1"/>
          <w:bCs w:val="1"/>
        </w:rPr>
        <w:t xml:space="preserve">Modalidad</w:t>
      </w:r>
    </w:p>
    <w:p>
      <w:pPr/>
      <w:r>
        <w:rPr>
          <w:rFonts w:ascii="Arial" w:hAnsi="Arial" w:eastAsia="Arial" w:cs="Arial"/>
          <w:sz w:val="24"/>
          <w:szCs w:val="24"/>
          <w:b w:val="0"/>
          <w:bCs w:val="0"/>
        </w:rPr>
        <w:t xml:space="preserve">Trabajo Científicos - Estudios epidemiológicos</w:t>
      </w:r>
    </w:p>
    <w:p/>
    <w:p>
      <w:pPr/>
      <w:r>
        <w:rPr>
          <w:rFonts w:ascii="Arial" w:hAnsi="Arial" w:eastAsia="Arial" w:cs="Arial"/>
          <w:sz w:val="24"/>
          <w:szCs w:val="24"/>
          <w:b w:val="1"/>
          <w:bCs w:val="1"/>
        </w:rPr>
        <w:t xml:space="preserve">Área temática</w:t>
      </w:r>
    </w:p>
    <w:p>
      <w:pPr/>
      <w:r>
        <w:rPr>
          <w:rFonts w:ascii="Arial" w:hAnsi="Arial" w:eastAsia="Arial" w:cs="Arial"/>
          <w:sz w:val="24"/>
          <w:szCs w:val="24"/>
          <w:b w:val="0"/>
          <w:bCs w:val="0"/>
        </w:rPr>
        <w:t xml:space="preserve">Asma</w:t>
      </w:r>
    </w:p>
    <w:p/>
    <w:p>
      <w:pPr/>
      <w:r>
        <w:rPr>
          <w:rFonts w:ascii="Arial" w:hAnsi="Arial" w:eastAsia="Arial" w:cs="Arial"/>
          <w:sz w:val="28"/>
          <w:szCs w:val="28"/>
          <w:b w:val="1"/>
          <w:bCs w:val="1"/>
        </w:rPr>
        <w:t xml:space="preserve">Rasgos Tratables en Asma Grave: una revisión de alcance (scoping review)</w:t>
      </w:r>
    </w:p>
    <w:p/>
    <w:p>
      <w:pPr/>
      <w:r>
        <w:rPr>
          <w:rFonts w:ascii="Arial" w:hAnsi="Arial" w:eastAsia="Arial" w:cs="Arial"/>
          <w:sz w:val="24"/>
          <w:szCs w:val="24"/>
          <w:b w:val="1"/>
          <w:bCs w:val="1"/>
        </w:rPr>
        <w:t xml:space="preserve">Introducción</w:t>
      </w:r>
    </w:p>
    <w:p>
      <w:pPr/>
      <w:r>
        <w:rPr>
          <w:rFonts w:ascii="Arial" w:hAnsi="Arial" w:eastAsia="Arial" w:cs="Arial"/>
          <w:sz w:val="24"/>
          <w:szCs w:val="24"/>
          <w:b w:val="0"/>
          <w:bCs w:val="0"/>
        </w:rPr>
        <w:t xml:space="preserve">El Asma Grave es una enfermedad compleja y heterogénea en la que se han descrito diversos fenotipos, endotipos y biomarcadores que se han incorporado en la practica clínica.
Recientemente, para el abordaje del paciente con enfermedad obstructiva grave se ha propuesto como una estrategia de Medicina de Precisión la identificación de Rasgos Tratables (RT), definidos como fenotipos y/o endotipos que cumplen tres características fundamentales: clínicamente relevantes, fácilmente medibles y con evidencia de un tratamiento diferencial. Para su estudio, los RT se han agrupado en tres categorías: pulmonares, extrapulmonares y comportamentales. </w:t>
      </w:r>
    </w:p>
    <w:p/>
    <w:p>
      <w:pPr/>
      <w:r>
        <w:rPr>
          <w:rFonts w:ascii="Arial" w:hAnsi="Arial" w:eastAsia="Arial" w:cs="Arial"/>
          <w:sz w:val="24"/>
          <w:szCs w:val="24"/>
          <w:b w:val="1"/>
          <w:bCs w:val="1"/>
        </w:rPr>
        <w:t xml:space="preserve">Material y Métodos</w:t>
      </w:r>
    </w:p>
    <w:p>
      <w:pPr/>
      <w:r>
        <w:rPr>
          <w:rFonts w:ascii="Arial" w:hAnsi="Arial" w:eastAsia="Arial" w:cs="Arial"/>
          <w:sz w:val="24"/>
          <w:szCs w:val="24"/>
          <w:b w:val="0"/>
          <w:bCs w:val="0"/>
        </w:rPr>
        <w:t xml:space="preserve">Tipo de estudio: revisión de alcance (scoping review) método del Joanna Briggs Institute y recomendaciones PRISMA-ScR (Preferred Reporting Items for Systematic reviews and Meta-Analyses extension for Scoping Reviews)
Pregunta: ¿cuál es la evidencia de RTs en Asma Grave?
Búsqueda: MEDLINE, EMBASE, CINAHL, SCOPUS, Cochrane Database of Systematic Reviews a agosto de 2021.
Criterios de inclusión: estudios observacionales y RCTs en pacientes con Asma Grave (ATS/ERS 2014) que describieron RTs, sin restricción de idioma.
Selección: dos autores (DR, CC) de forma independiente; desacuerdos resueltos por consenso.
Evaluación de calidad: dos autores (MJF, CC) de forma independiente, empleando las herramientas Cochrane Risk of Bias para RCTs y Newcastle‐Ottawa Quality Assessment Scale (NOS) para observacionales. </w:t>
      </w:r>
    </w:p>
    <w:p/>
    <w:p>
      <w:pPr/>
      <w:r>
        <w:rPr>
          <w:rFonts w:ascii="Arial" w:hAnsi="Arial" w:eastAsia="Arial" w:cs="Arial"/>
          <w:sz w:val="24"/>
          <w:szCs w:val="24"/>
          <w:b w:val="1"/>
          <w:bCs w:val="1"/>
        </w:rPr>
        <w:t xml:space="preserve">Resultados</w:t>
      </w:r>
    </w:p>
    <w:p>
      <w:pPr/>
      <w:r>
        <w:rPr>
          <w:rFonts w:ascii="Arial" w:hAnsi="Arial" w:eastAsia="Arial" w:cs="Arial"/>
          <w:sz w:val="24"/>
          <w:szCs w:val="24"/>
          <w:b w:val="0"/>
          <w:bCs w:val="0"/>
        </w:rPr>
        <w:t xml:space="preserve"> Se encontraron 5 estudios: 1 RCT (McDonald et al 2019) y 4 observacionales: 1 retrospectivo (Shaw et al 2017) y 3 prospectivos (McDonald et al 2019; Hiles et al 2019; Wu et al 2021). 
Los RTs más frecuentes fueron:
-Pulmonares: limitación al flujo aereo, reversibilidad al broncodilatador, inflamación eosinofílica (esputo y sangre), inflamación neutrofílica
-Extrapulmonares: respiración disfuncional, anemia, inflamación sistémica, obesidad, cardiovascular, depresión/ansiedad, disfunción de cuerdas vocales, osteopenia, sinusitis/pólipos, apnea del sueño y reflujo gastroesofágico. 
-Comportamentales: tabaquismo, polifarmacia de inhaladores, mala adherencia, técnica inadecuada de uso del dispositivo y ausencia de plan de acción. 
Varios RTs se asociaron con exacerbaciones y mala calidad de vida. Un RCT mostró que la estrategia de RTs en Asma Grave se asocia a mejoría de calidad de vida y menos exacerbaciones. </w:t>
      </w:r>
    </w:p>
    <w:p/>
    <w:p>
      <w:pPr/>
      <w:r>
        <w:rPr>
          <w:rFonts w:ascii="Arial" w:hAnsi="Arial" w:eastAsia="Arial" w:cs="Arial"/>
          <w:sz w:val="24"/>
          <w:szCs w:val="24"/>
          <w:b w:val="1"/>
          <w:bCs w:val="1"/>
        </w:rPr>
        <w:t xml:space="preserve">Conclusiones</w:t>
      </w:r>
    </w:p>
    <w:p>
      <w:pPr/>
      <w:r>
        <w:rPr>
          <w:rFonts w:ascii="Arial" w:hAnsi="Arial" w:eastAsia="Arial" w:cs="Arial"/>
          <w:sz w:val="24"/>
          <w:szCs w:val="24"/>
          <w:b w:val="0"/>
          <w:bCs w:val="0"/>
        </w:rPr>
        <w:t xml:space="preserve">La estrategia de RTs en Asma Grave permite identificar variables asociadas independientemente con desenlaces importantes en el paciente con Asma Grave y empleada como una aproximación multidimensional mejora la calidad de vida de forma clínicamente importante. Su implementación requiere la definición precisa de cada RT así como su tratamiento por lo que se hace una propuesta adaptada a la práctica clínica diaria. </w:t>
      </w:r>
    </w:p>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2021-11-08T06:33:30+00:00</dcterms:created>
  <dcterms:modified xsi:type="dcterms:W3CDTF">2021-11-08T06:33:30+00:00</dcterms:modified>
</cp:coreProperties>
</file>

<file path=docProps/custom.xml><?xml version="1.0" encoding="utf-8"?>
<Properties xmlns="http://schemas.openxmlformats.org/officeDocument/2006/custom-properties" xmlns:vt="http://schemas.openxmlformats.org/officeDocument/2006/docPropsVTypes"/>
</file>