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Trabajo #ae56e3d2-a6f0-4bed-a61b-0f0511f15b0c</w:t>
      </w:r>
    </w:p>
    <w:p/>
    <w:p>
      <w:pPr/>
      <w:r>
        <w:rPr/>
        <w:t xml:space="preserve">Congresos ALAT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Autor responsable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Felipe Moraes dos Santos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Modalidad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Trabajo Científicos - Estudios epidemiológicos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Área temática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Asma</w:t>
      </w:r>
    </w:p>
    <w:p/>
    <w:p>
      <w:pPr/>
      <w:r>
        <w:rPr>
          <w:rFonts w:ascii="Arial" w:hAnsi="Arial" w:eastAsia="Arial" w:cs="Arial"/>
          <w:sz w:val="28"/>
          <w:szCs w:val="28"/>
          <w:b w:val="1"/>
          <w:bCs w:val="1"/>
        </w:rPr>
        <w:t xml:space="preserve">Caracterización sociodemográfica y calidad de vida en individuos con asma en Chile: análisis de la encuesta nacional de salud (ENS) 2016-2017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Introducción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Actualmente no hay datos de prevalencia de asma en población chilena ≥15 años. El objetivo del trabajo fue describir prevalencia de asma y de su tratamiento de alta intensidad, y las características de los asmáticos vs la población general.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Material y Métodos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Análisis de la ENS de la población ≥15 años. Se identificaron personas con asma por la pregunta “¿Alguna vez un doctor o médico le ha dicho que tiene o que padece de asma?”. Se evaluó la prevalencia de tratamiento de alta intensidad (dosis altas de corticoides inhalados más un 2°controlador), características sociodemográficas, calidad de vida y salud autopercibidas, escala de calidad de vida (EQ-5D-3L), sedentarismo, tabaquismo y comorbilidades en personas con asma y la población ≥15 años de la ENS. Se utilizó SPSS v26 para estimar porcentajes e intervalos de confianza del 95% (IC95%) o promedio y error estándar (EE).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Resultados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Prevalencia de diagnóstico de asma fue 5,4% (4,5-6,5%), de los cuales 7,6% (3,4-16,1%) recibían tratamiento de alta intensidad. Las personas con asma comparado a la población general eran más mujeres (65,5% (56,4-73,7%) vs 50,9%, (48,6-53,1%)), menor proporción de personas trabajando por ingreso (38,6% (30,1-47,9%) vs 52,2%, (49,7-54,6%)), reportaban peor salud (muy mala/mala: 16,4% (11,4-23,1%) vs 7,7%, (6,6-8,9%)) y calidad de vida (muy mala/mala/menos que regular: 6,3% (3,4-11,3%) vs 3,6% (2,8-4,5%)) y peor puntaje promedio en EQ-5D-3L (58,86 (2,74) vs 67,17 (0,88)). El 28,3% (21,3-36,6%) de las personas con asma declararon fumar vs 32,6% (30,5-34,8%) de la población total. Sedentarismo (87,1% (79-92,3%) vs 87,3% (85,6-88,8%)) y obesidad (32,7% (25,5-40,8%) vs 34,7% (32,4-37,1%)) fueron similares. Comorbilidades más frecuentes en individuos con asma fueron: síntomas depresivos (42,2% (34,1-50,7%) vs 35,8% (33,3-38,4%)), hipertensión (36,2% (28,5-44,6%) vs 26,3% (24,3-28,3%)), depresión (34,1% (26,5-42,6%) vs 21,3% (19,4-23,4%)), dislipidemias (28,5% (21,4-36,9%) vs 23% (21,1-25%)) e insomnio (13,5% (8,6-20,7%) vs 5,6% (4,6-6,7%)).</w:t>
      </w:r>
    </w:p>
    <w:p/>
    <w:p>
      <w:pPr/>
      <w:r>
        <w:rPr>
          <w:rFonts w:ascii="Arial" w:hAnsi="Arial" w:eastAsia="Arial" w:cs="Arial"/>
          <w:sz w:val="24"/>
          <w:szCs w:val="24"/>
          <w:b w:val="1"/>
          <w:bCs w:val="1"/>
        </w:rPr>
        <w:t xml:space="preserve">Conclusiones</w:t>
      </w:r>
    </w:p>
    <w:p>
      <w:pPr/>
      <w:r>
        <w:rPr>
          <w:rFonts w:ascii="Arial" w:hAnsi="Arial" w:eastAsia="Arial" w:cs="Arial"/>
          <w:sz w:val="24"/>
          <w:szCs w:val="24"/>
          <w:b w:val="0"/>
          <w:bCs w:val="0"/>
        </w:rPr>
        <w:t xml:space="preserve">Prevalencia de diagnóstico de asma en ≥15 años fue 5,4%, menor que la reportada en ISAAC en Chile (6-7 años: 10,7%, 13-14 años: 14,9%). Esa población reportó peor autopercepción de calidad de vida y salud, muchos eran fumadores y sufrían más comorbilidades (Financiado por GSK: 217087).</w:t>
      </w:r>
    </w:p>
    <w:p/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2021-11-08T06:33:28+00:00</dcterms:created>
  <dcterms:modified xsi:type="dcterms:W3CDTF">2021-11-08T06:33:28+00:00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