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Trabajo #3ff1dfff-b373-4b02-b0c4-76f74bcb2757</w:t>
      </w:r>
    </w:p>
    <w:p/>
    <w:p>
      <w:pPr/>
      <w:r>
        <w:rPr/>
        <w:t xml:space="preserve">Congresos ALAT</w:t>
      </w:r>
    </w:p>
    <w:p/>
    <w:p>
      <w:pPr/>
      <w:r>
        <w:rPr>
          <w:rFonts w:ascii="Arial" w:hAnsi="Arial" w:eastAsia="Arial" w:cs="Arial"/>
          <w:sz w:val="24"/>
          <w:szCs w:val="24"/>
          <w:b w:val="1"/>
          <w:bCs w:val="1"/>
        </w:rPr>
        <w:t xml:space="preserve">Autor responsable</w:t>
      </w:r>
    </w:p>
    <w:p>
      <w:pPr/>
      <w:r>
        <w:rPr>
          <w:rFonts w:ascii="Arial" w:hAnsi="Arial" w:eastAsia="Arial" w:cs="Arial"/>
          <w:sz w:val="24"/>
          <w:szCs w:val="24"/>
          <w:b w:val="0"/>
          <w:bCs w:val="0"/>
        </w:rPr>
        <w:t xml:space="preserve">Hernan Castillo</w:t>
      </w:r>
    </w:p>
    <w:p/>
    <w:p>
      <w:pPr/>
      <w:r>
        <w:rPr>
          <w:rFonts w:ascii="Arial" w:hAnsi="Arial" w:eastAsia="Arial" w:cs="Arial"/>
          <w:sz w:val="24"/>
          <w:szCs w:val="24"/>
          <w:b w:val="1"/>
          <w:bCs w:val="1"/>
        </w:rPr>
        <w:t xml:space="preserve">Modalidad</w:t>
      </w:r>
    </w:p>
    <w:p>
      <w:pPr/>
      <w:r>
        <w:rPr>
          <w:rFonts w:ascii="Arial" w:hAnsi="Arial" w:eastAsia="Arial" w:cs="Arial"/>
          <w:sz w:val="24"/>
          <w:szCs w:val="24"/>
          <w:b w:val="0"/>
          <w:bCs w:val="0"/>
        </w:rPr>
        <w:t xml:space="preserve">Trabajo Científicos - Estudios epidemiológicos</w:t>
      </w:r>
    </w:p>
    <w:p/>
    <w:p>
      <w:pPr/>
      <w:r>
        <w:rPr>
          <w:rFonts w:ascii="Arial" w:hAnsi="Arial" w:eastAsia="Arial" w:cs="Arial"/>
          <w:sz w:val="24"/>
          <w:szCs w:val="24"/>
          <w:b w:val="1"/>
          <w:bCs w:val="1"/>
        </w:rPr>
        <w:t xml:space="preserve">Área temática</w:t>
      </w:r>
    </w:p>
    <w:p>
      <w:pPr/>
      <w:r>
        <w:rPr>
          <w:rFonts w:ascii="Arial" w:hAnsi="Arial" w:eastAsia="Arial" w:cs="Arial"/>
          <w:sz w:val="24"/>
          <w:szCs w:val="24"/>
          <w:b w:val="0"/>
          <w:bCs w:val="0"/>
        </w:rPr>
        <w:t xml:space="preserve">Tabaquismo</w:t>
      </w:r>
    </w:p>
    <w:p/>
    <w:p>
      <w:pPr/>
      <w:r>
        <w:rPr>
          <w:rFonts w:ascii="Arial" w:hAnsi="Arial" w:eastAsia="Arial" w:cs="Arial"/>
          <w:sz w:val="28"/>
          <w:szCs w:val="28"/>
          <w:b w:val="1"/>
          <w:bCs w:val="1"/>
        </w:rPr>
        <w:t xml:space="preserve">Caracterización del consumo y percepción del riesgo de tabaco, marihuana y cigarrillo electrónico en jóvenes uruguayos</w:t>
      </w:r>
    </w:p>
    <w:p/>
    <w:p>
      <w:pPr/>
      <w:r>
        <w:rPr>
          <w:rFonts w:ascii="Arial" w:hAnsi="Arial" w:eastAsia="Arial" w:cs="Arial"/>
          <w:sz w:val="24"/>
          <w:szCs w:val="24"/>
          <w:b w:val="1"/>
          <w:bCs w:val="1"/>
        </w:rPr>
        <w:t xml:space="preserve">Introducción</w:t>
      </w:r>
    </w:p>
    <w:p>
      <w:pPr/>
      <w:r>
        <w:rPr>
          <w:rFonts w:ascii="Arial" w:hAnsi="Arial" w:eastAsia="Arial" w:cs="Arial"/>
          <w:sz w:val="24"/>
          <w:szCs w:val="24"/>
          <w:b w:val="0"/>
          <w:bCs w:val="0"/>
        </w:rPr>
        <w:t xml:space="preserve">El tabaquismo es un problema de salud pública a nivel mundial; actualmente es considerado la principal causa de muerte evitable en el mundo. El uso simultáneo de tabaco y marihuana se asocia con un mayor riesgo de persistencia y recaída de ambos consumos. En los últimos años ha aumentado el uso de sistemas electrónicos de administración de nicotina en jóvenes a nivel mundial, debido a lo novedoso de su uso, la gran cantidad de sabores y la noción de que son menos nocivos. El objetivo es conocer la prevalencia del consumo de tabaco, marihuana y cigarrillo electrónico en la población uruguaya de entre 15 y 21 años, la asociación del consumo entre los mismos y la percepción del riesgo de su uso.</w:t>
      </w:r>
    </w:p>
    <w:p/>
    <w:p>
      <w:pPr/>
      <w:r>
        <w:rPr>
          <w:rFonts w:ascii="Arial" w:hAnsi="Arial" w:eastAsia="Arial" w:cs="Arial"/>
          <w:sz w:val="24"/>
          <w:szCs w:val="24"/>
          <w:b w:val="1"/>
          <w:bCs w:val="1"/>
        </w:rPr>
        <w:t xml:space="preserve">Material y Métodos</w:t>
      </w:r>
    </w:p>
    <w:p>
      <w:pPr/>
      <w:r>
        <w:rPr>
          <w:rFonts w:ascii="Arial" w:hAnsi="Arial" w:eastAsia="Arial" w:cs="Arial"/>
          <w:sz w:val="24"/>
          <w:szCs w:val="24"/>
          <w:b w:val="0"/>
          <w:bCs w:val="0"/>
        </w:rPr>
        <w:t xml:space="preserve">Se realizó un estudio analítico transversal en el período febrero-abril de 2021. Se difundió una encuesta anónima, voluntaria y autoadministrada a través de redes sociales y centros educativos públicos y privados de todo el país, dirigida al público objetivo.</w:t>
      </w:r>
    </w:p>
    <w:p/>
    <w:p>
      <w:pPr/>
      <w:r>
        <w:rPr>
          <w:rFonts w:ascii="Arial" w:hAnsi="Arial" w:eastAsia="Arial" w:cs="Arial"/>
          <w:sz w:val="24"/>
          <w:szCs w:val="24"/>
          <w:b w:val="1"/>
          <w:bCs w:val="1"/>
        </w:rPr>
        <w:t xml:space="preserve">Resultados</w:t>
      </w:r>
    </w:p>
    <w:p>
      <w:pPr/>
      <w:r>
        <w:rPr>
          <w:rFonts w:ascii="Arial" w:hAnsi="Arial" w:eastAsia="Arial" w:cs="Arial"/>
          <w:sz w:val="24"/>
          <w:szCs w:val="24"/>
          <w:b w:val="0"/>
          <w:bCs w:val="0"/>
        </w:rPr>
        <w:t xml:space="preserve">Se procesaron 1517 respuestas. Se encontró que 54% fumó cigarrillo alguna vez, 25% es tabaquista y 19,7% lo usó de forma habitual en el último mes. 48% consumió marihuana alguna vez y 19,4% lo hizo en el último mes. 32% usó cigarrillo electrónico alguna vez. De los que fuman cigarrillo, 84% y 58% consumieron marihuana y cigarrillo electrónico alguna vez, respectivamente. De los que usaron cigarrillo electrónico alguna vez, 50% nunca fumó o solo probó cigarrillo tradicional. Se encontró asociación significativa entre consumir una de las tres sustancias y tener un padre, madre o tutor que la consuma o consumiera. En relación a la percepción del riesgo, 98% estuvo de acuerdo con que el tabaco es perjudicial para la salud, 66% lo estuvo con la marihuana y 81% con el cigarrillo electrónico. 73% cree que usar cigarrillo electrónico es menos nocivo que fumar cigarrillos comunes. Al analizar las patologías específicas, se observan marcadas diferencias según la sustancia considerada.</w:t>
      </w:r>
    </w:p>
    <w:p/>
    <w:p>
      <w:pPr/>
      <w:r>
        <w:rPr>
          <w:rFonts w:ascii="Arial" w:hAnsi="Arial" w:eastAsia="Arial" w:cs="Arial"/>
          <w:sz w:val="24"/>
          <w:szCs w:val="24"/>
          <w:b w:val="1"/>
          <w:bCs w:val="1"/>
        </w:rPr>
        <w:t xml:space="preserve">Conclusiones</w:t>
      </w:r>
    </w:p>
    <w:p>
      <w:pPr/>
      <w:r>
        <w:rPr>
          <w:rFonts w:ascii="Arial" w:hAnsi="Arial" w:eastAsia="Arial" w:cs="Arial"/>
          <w:sz w:val="24"/>
          <w:szCs w:val="24"/>
          <w:b w:val="0"/>
          <w:bCs w:val="0"/>
        </w:rPr>
        <w:t xml:space="preserve">Se objetivó una elevada prevalencia de consumo de estas sustancias en jóvenes y una apreciable asociación entre ellas. Llamativamente, se constató una prevalencia similar de consumo de cigarrillo y marihuana en el último mes. Esto cobra especial relevancia dado que se observó una importante diferencia entre la percepción del riesgo de consumo de dichas sustancias, siendo la de marihuana considerablemente menor. Por lo antedicho, sería de jerarquía la elaboración de políticas públicas dirigidas específicamente a esta problemática.</w:t>
      </w:r>
    </w:p>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2021-11-08T06:33:29+00:00</dcterms:created>
  <dcterms:modified xsi:type="dcterms:W3CDTF">2021-11-08T06:33:29+00:00</dcterms:modified>
</cp:coreProperties>
</file>

<file path=docProps/custom.xml><?xml version="1.0" encoding="utf-8"?>
<Properties xmlns="http://schemas.openxmlformats.org/officeDocument/2006/custom-properties" xmlns:vt="http://schemas.openxmlformats.org/officeDocument/2006/docPropsVTypes"/>
</file>